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BD689" w14:textId="77777777" w:rsidR="00726503" w:rsidRDefault="00726503" w:rsidP="00726503">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922297F" w14:textId="77777777" w:rsidR="00726503" w:rsidRDefault="00726503" w:rsidP="00726503">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5E9EE445" w14:textId="77777777" w:rsidR="00726503" w:rsidRDefault="00726503" w:rsidP="00726503">
      <w:pPr>
        <w:widowControl w:val="0"/>
        <w:bidi/>
        <w:spacing w:after="0"/>
        <w:jc w:val="center"/>
        <w:rPr>
          <w:rFonts w:cs="B Mitra" w:hint="cs"/>
          <w:b/>
          <w:bCs/>
          <w:sz w:val="32"/>
          <w:szCs w:val="32"/>
          <w:rtl/>
          <w:lang w:bidi="fa-IR"/>
        </w:rPr>
      </w:pPr>
      <w:r>
        <w:rPr>
          <w:rFonts w:cs="B Mitra" w:hint="cs"/>
          <w:b/>
          <w:bCs/>
          <w:sz w:val="32"/>
          <w:szCs w:val="32"/>
          <w:rtl/>
          <w:lang w:bidi="fa-IR"/>
        </w:rPr>
        <w:t>جلسه 938</w:t>
      </w:r>
    </w:p>
    <w:p w14:paraId="10A823EE" w14:textId="77777777" w:rsidR="00726503" w:rsidRDefault="00726503" w:rsidP="00726503">
      <w:pPr>
        <w:widowControl w:val="0"/>
        <w:bidi/>
        <w:spacing w:after="0" w:line="261" w:lineRule="auto"/>
        <w:ind w:firstLine="284"/>
        <w:jc w:val="both"/>
        <w:rPr>
          <w:rFonts w:cs="Abz-2 (Badr)" w:hint="cs"/>
          <w:color w:val="C45911" w:themeColor="accent2" w:themeShade="BF"/>
          <w:sz w:val="28"/>
          <w:szCs w:val="28"/>
          <w:rtl/>
          <w:lang w:bidi="fa-IR"/>
        </w:rPr>
      </w:pPr>
    </w:p>
    <w:p w14:paraId="1D77146A" w14:textId="77777777" w:rsidR="00726503" w:rsidRDefault="00726503" w:rsidP="00726503">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جلسه قبل گفتيم که رواياتی وجود دارد که می</w:t>
      </w:r>
      <w:r>
        <w:rPr>
          <w:rFonts w:cs="Abz-2 (Badr)" w:hint="cs"/>
          <w:color w:val="000000" w:themeColor="text1"/>
          <w:sz w:val="28"/>
          <w:szCs w:val="28"/>
          <w:rtl/>
          <w:lang w:bidi="fa-IR"/>
        </w:rPr>
        <w:softHyphen/>
        <w:t>توان از آنها لزوم اکتساب برای دادن نفقه منفق عليه را استنباط نمود:</w:t>
      </w:r>
    </w:p>
    <w:p w14:paraId="7C56EDC3" w14:textId="77777777" w:rsidR="00726503" w:rsidRDefault="00726503" w:rsidP="00726503">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1 ـ خبر علی بن غراب که نص آن گذشت.</w:t>
      </w:r>
    </w:p>
    <w:p w14:paraId="2DEC4814" w14:textId="77777777" w:rsidR="00726503" w:rsidRDefault="00726503" w:rsidP="00726503">
      <w:pPr>
        <w:widowControl w:val="0"/>
        <w:bidi/>
        <w:spacing w:after="0"/>
        <w:ind w:firstLine="284"/>
        <w:jc w:val="both"/>
        <w:rPr>
          <w:rFonts w:ascii="IRBadr" w:hAnsi="IRBadr" w:cs="Abz-2 (Badr)" w:hint="cs"/>
          <w:color w:val="70AD47" w:themeColor="accent6"/>
          <w:sz w:val="28"/>
          <w:szCs w:val="28"/>
          <w:rtl/>
          <w:lang w:bidi="fa-IR"/>
        </w:rPr>
      </w:pPr>
      <w:r>
        <w:rPr>
          <w:rFonts w:cs="Abz-2 (Badr)" w:hint="cs"/>
          <w:color w:val="000000" w:themeColor="text1"/>
          <w:sz w:val="28"/>
          <w:szCs w:val="28"/>
          <w:rtl/>
          <w:lang w:bidi="fa-IR"/>
        </w:rPr>
        <w:t xml:space="preserve">2 ـ  حسنة هشام بن سالم عن أبي عبدالله(ع)، قال: </w:t>
      </w:r>
      <w:r>
        <w:rPr>
          <w:rFonts w:ascii="IRBadr" w:hAnsi="IRBadr" w:cs="Abz-2 (Badr)" w:hint="cs"/>
          <w:color w:val="70AD47" w:themeColor="accent6"/>
          <w:sz w:val="28"/>
          <w:szCs w:val="28"/>
          <w:rtl/>
          <w:lang w:bidi="fa-IR"/>
        </w:rPr>
        <w:t>«کفی بالمرء إثماً أن يضيّع من يعوله.»</w:t>
      </w:r>
      <w:r>
        <w:rPr>
          <w:rStyle w:val="FootnoteReference"/>
          <w:rFonts w:cs="Abz-2 (Badr)"/>
          <w:color w:val="000000" w:themeColor="text1"/>
          <w:sz w:val="28"/>
          <w:szCs w:val="28"/>
          <w:rtl/>
          <w:lang w:bidi="ar"/>
        </w:rPr>
        <w:footnoteReference w:id="1"/>
      </w:r>
    </w:p>
    <w:p w14:paraId="5C95F304" w14:textId="77777777" w:rsidR="00726503" w:rsidRDefault="00726503" w:rsidP="00726503">
      <w:pPr>
        <w:widowControl w:val="0"/>
        <w:bidi/>
        <w:spacing w:after="0"/>
        <w:ind w:firstLine="284"/>
        <w:jc w:val="both"/>
        <w:rPr>
          <w:rFonts w:ascii="IRBadr" w:hAnsi="IRBadr" w:cs="Abz-2 (Badr)" w:hint="cs"/>
          <w:color w:val="000000" w:themeColor="text1"/>
          <w:sz w:val="28"/>
          <w:szCs w:val="28"/>
          <w:rtl/>
          <w:lang w:bidi="fa-IR"/>
        </w:rPr>
      </w:pPr>
      <w:r>
        <w:rPr>
          <w:rFonts w:ascii="IRBadr" w:hAnsi="IRBadr" w:cs="Abz-2 (Badr)" w:hint="cs"/>
          <w:color w:val="000000" w:themeColor="text1"/>
          <w:sz w:val="28"/>
          <w:szCs w:val="28"/>
          <w:rtl/>
          <w:lang w:bidi="fa-IR"/>
        </w:rPr>
        <w:t>وجه تمسّک به اين روايت اين است که کسی که تمکن از اکتساب دارد و آن را ترک می</w:t>
      </w:r>
      <w:r>
        <w:rPr>
          <w:rFonts w:ascii="IRBadr" w:hAnsi="IRBadr" w:cs="Abz-2 (Badr)" w:hint="cs"/>
          <w:color w:val="000000" w:themeColor="text1"/>
          <w:sz w:val="28"/>
          <w:szCs w:val="28"/>
          <w:rtl/>
          <w:lang w:bidi="fa-IR"/>
        </w:rPr>
        <w:softHyphen/>
        <w:t>کند و نفقه عيال خود را نمی</w:t>
      </w:r>
      <w:r>
        <w:rPr>
          <w:rFonts w:ascii="IRBadr" w:hAnsi="IRBadr" w:cs="Abz-2 (Badr)" w:hint="cs"/>
          <w:color w:val="000000" w:themeColor="text1"/>
          <w:sz w:val="28"/>
          <w:szCs w:val="28"/>
          <w:rtl/>
          <w:lang w:bidi="fa-IR"/>
        </w:rPr>
        <w:softHyphen/>
        <w:t>پردازد، عرفاً تضييع کننده عيال محسوب می</w:t>
      </w:r>
      <w:r>
        <w:rPr>
          <w:rFonts w:ascii="IRBadr" w:hAnsi="IRBadr" w:cs="Abz-2 (Badr)" w:hint="cs"/>
          <w:color w:val="000000" w:themeColor="text1"/>
          <w:sz w:val="28"/>
          <w:szCs w:val="28"/>
          <w:rtl/>
          <w:lang w:bidi="fa-IR"/>
        </w:rPr>
        <w:softHyphen/>
        <w:t>شود.</w:t>
      </w:r>
    </w:p>
    <w:p w14:paraId="7F98D2CA" w14:textId="77777777" w:rsidR="00726503" w:rsidRDefault="00726503" w:rsidP="00726503">
      <w:pPr>
        <w:widowControl w:val="0"/>
        <w:bidi/>
        <w:spacing w:after="0"/>
        <w:ind w:firstLine="284"/>
        <w:jc w:val="both"/>
        <w:rPr>
          <w:rFonts w:ascii="IRBadr" w:hAnsi="IRBadr" w:cs="Abz-2 (Badr)" w:hint="cs"/>
          <w:color w:val="000000" w:themeColor="text1"/>
          <w:sz w:val="28"/>
          <w:szCs w:val="28"/>
          <w:rtl/>
          <w:lang w:bidi="fa-IR"/>
        </w:rPr>
      </w:pPr>
      <w:r>
        <w:rPr>
          <w:rFonts w:ascii="IRBadr" w:hAnsi="IRBadr" w:cs="Abz-2 (Badr)" w:hint="cs"/>
          <w:color w:val="000000" w:themeColor="text1"/>
          <w:sz w:val="28"/>
          <w:szCs w:val="28"/>
          <w:rtl/>
          <w:lang w:bidi="fa-IR"/>
        </w:rPr>
        <w:t>مگر اين که گفته شود: قدر متيقّن از چنين شخصی کسی است که با داشتن مال کافی، از دادن نفقه عيال خود سر باز بزند وشمول آن بر کسی که مال نداشته و مشغول به اکتساب نمی</w:t>
      </w:r>
      <w:r>
        <w:rPr>
          <w:rFonts w:ascii="IRBadr" w:hAnsi="IRBadr" w:cs="Abz-2 (Badr)" w:hint="cs"/>
          <w:color w:val="000000" w:themeColor="text1"/>
          <w:sz w:val="28"/>
          <w:szCs w:val="28"/>
          <w:rtl/>
          <w:lang w:bidi="fa-IR"/>
        </w:rPr>
        <w:softHyphen/>
        <w:t>شود، معلوم نيست.</w:t>
      </w:r>
    </w:p>
    <w:p w14:paraId="24DB96A1" w14:textId="77777777" w:rsidR="00726503" w:rsidRDefault="00726503" w:rsidP="00726503">
      <w:pPr>
        <w:widowControl w:val="0"/>
        <w:bidi/>
        <w:spacing w:after="0"/>
        <w:ind w:firstLine="284"/>
        <w:jc w:val="both"/>
        <w:rPr>
          <w:rFonts w:ascii="IRBadr" w:hAnsi="IRBadr" w:cs="Abz-2 (Badr)" w:hint="cs"/>
          <w:color w:val="70AD47" w:themeColor="accent6"/>
          <w:sz w:val="28"/>
          <w:szCs w:val="28"/>
          <w:rtl/>
          <w:lang w:bidi="fa-IR"/>
        </w:rPr>
      </w:pPr>
      <w:r>
        <w:rPr>
          <w:rFonts w:ascii="IRBadr" w:hAnsi="IRBadr" w:cs="Abz-2 (Badr)" w:hint="cs"/>
          <w:color w:val="000000" w:themeColor="text1"/>
          <w:sz w:val="28"/>
          <w:szCs w:val="28"/>
          <w:rtl/>
          <w:lang w:bidi="fa-IR"/>
        </w:rPr>
        <w:t xml:space="preserve">3 ـ صحيحة محمّد بن مسلم، قال: </w:t>
      </w:r>
      <w:r>
        <w:rPr>
          <w:rFonts w:ascii="IRBadr" w:hAnsi="IRBadr" w:cs="Abz-2 (Badr)" w:hint="cs"/>
          <w:color w:val="70AD47" w:themeColor="accent6"/>
          <w:sz w:val="28"/>
          <w:szCs w:val="28"/>
          <w:rtl/>
          <w:lang w:bidi="fa-IR"/>
        </w:rPr>
        <w:t xml:space="preserve">«قال رجل لأبي جعفر(ع): إنّ لي ضيعة بالجبل أستغلّها في كلّ سنة ثلاث آلاف درهم فأُنفق على عيالي منها ألفي درهم وأتصدّق منها بألف درهم في كلّ سنة. فقال أبو جعفر(ع): إن كانت الألفان تكفيهم في جميع ما يحتاجون إليه لسنتهم، فقد نظرت لنفسك ووُفّقت لرشدك وأجريت نفسك في حياتك بمنزلة ما يوصي به الحيّ </w:t>
      </w:r>
      <w:r>
        <w:rPr>
          <w:rFonts w:ascii="IRBadr" w:hAnsi="IRBadr" w:cs="Abz-2 (Badr)" w:hint="cs"/>
          <w:color w:val="70AD47" w:themeColor="accent6"/>
          <w:sz w:val="28"/>
          <w:szCs w:val="28"/>
          <w:rtl/>
          <w:lang w:bidi="fa-IR"/>
        </w:rPr>
        <w:lastRenderedPageBreak/>
        <w:t>عند موته.»</w:t>
      </w:r>
      <w:r>
        <w:rPr>
          <w:rStyle w:val="FootnoteReference"/>
          <w:rFonts w:cs="Abz-2 (Badr)"/>
          <w:color w:val="000000" w:themeColor="text1"/>
          <w:sz w:val="28"/>
          <w:szCs w:val="28"/>
          <w:rtl/>
          <w:lang w:bidi="ar"/>
        </w:rPr>
        <w:footnoteReference w:id="2"/>
      </w:r>
    </w:p>
    <w:p w14:paraId="172E7316" w14:textId="77777777" w:rsidR="00726503" w:rsidRDefault="00726503" w:rsidP="00726503">
      <w:pPr>
        <w:widowControl w:val="0"/>
        <w:bidi/>
        <w:spacing w:after="0"/>
        <w:ind w:firstLine="284"/>
        <w:jc w:val="both"/>
        <w:rPr>
          <w:rFonts w:ascii="IRBadr" w:hAnsi="IRBadr" w:cs="Abz-2 (Badr)" w:hint="cs"/>
          <w:color w:val="000000" w:themeColor="text1"/>
          <w:sz w:val="28"/>
          <w:szCs w:val="28"/>
          <w:rtl/>
          <w:lang w:bidi="fa-IR"/>
        </w:rPr>
      </w:pPr>
      <w:r>
        <w:rPr>
          <w:rFonts w:ascii="IRBadr" w:hAnsi="IRBadr" w:cs="Abz-2 (Badr)" w:hint="cs"/>
          <w:color w:val="000000" w:themeColor="text1"/>
          <w:sz w:val="28"/>
          <w:szCs w:val="28"/>
          <w:rtl/>
          <w:lang w:bidi="fa-IR"/>
        </w:rPr>
        <w:t>وجه تمسّک به اين روايت نيز اين است که مفهوم شرط در آن دلالت بر اين دارد که اگر مبلغ مذکور برای نفقه عيال کفايت نکند، بر وی جايز نيست که آن را صدقه بدهد، بلکه واجب است جميع مال را در مخارج عيال خود مصرف کند، و چون آن مال از اکتساب وی به دست آمده است، پس اکتساب نيز بر وی واجب خواهد بود.</w:t>
      </w:r>
    </w:p>
    <w:p w14:paraId="6C01C93D" w14:textId="77777777" w:rsidR="00726503" w:rsidRDefault="00726503" w:rsidP="00726503">
      <w:pPr>
        <w:widowControl w:val="0"/>
        <w:bidi/>
        <w:spacing w:after="0"/>
        <w:ind w:firstLine="284"/>
        <w:jc w:val="both"/>
        <w:rPr>
          <w:rFonts w:ascii="IRBadr" w:hAnsi="IRBadr" w:cs="Abz-2 (Badr)" w:hint="cs"/>
          <w:color w:val="000000" w:themeColor="text1"/>
          <w:sz w:val="28"/>
          <w:szCs w:val="28"/>
          <w:rtl/>
          <w:lang w:bidi="fa-IR"/>
        </w:rPr>
      </w:pPr>
      <w:r>
        <w:rPr>
          <w:rFonts w:ascii="IRBadr" w:hAnsi="IRBadr" w:cs="Abz-2 (Badr)" w:hint="cs"/>
          <w:color w:val="000000" w:themeColor="text1"/>
          <w:sz w:val="28"/>
          <w:szCs w:val="28"/>
          <w:rtl/>
          <w:lang w:bidi="fa-IR"/>
        </w:rPr>
        <w:t>مگر اين که گفته شود: ملازمه</w:t>
      </w:r>
      <w:r>
        <w:rPr>
          <w:rFonts w:ascii="IRBadr" w:hAnsi="IRBadr" w:cs="Abz-2 (Badr)" w:hint="cs"/>
          <w:color w:val="000000" w:themeColor="text1"/>
          <w:sz w:val="28"/>
          <w:szCs w:val="28"/>
          <w:rtl/>
          <w:lang w:bidi="fa-IR"/>
        </w:rPr>
        <w:softHyphen/>
        <w:t>ای بين وجوب دفع نفقه عيال بعد از اکتساب و تحصيل مال و وجوب اکتساب مال برای نفقه عيال وجود ندارد.</w:t>
      </w:r>
    </w:p>
    <w:p w14:paraId="1B92167C" w14:textId="77777777" w:rsidR="00726503" w:rsidRDefault="00726503" w:rsidP="00726503">
      <w:pPr>
        <w:widowControl w:val="0"/>
        <w:bidi/>
        <w:spacing w:after="0"/>
        <w:ind w:firstLine="284"/>
        <w:jc w:val="both"/>
        <w:rPr>
          <w:rFonts w:cs="Abz-2 (Badr)" w:hint="cs"/>
          <w:color w:val="000000" w:themeColor="text1"/>
          <w:sz w:val="28"/>
          <w:szCs w:val="28"/>
          <w:rtl/>
          <w:lang w:bidi="fa-IR"/>
        </w:rPr>
      </w:pPr>
      <w:r>
        <w:rPr>
          <w:rFonts w:ascii="IRBadr" w:hAnsi="IRBadr" w:cs="Abz-2 (Badr)" w:hint="cs"/>
          <w:color w:val="000000" w:themeColor="text1"/>
          <w:sz w:val="28"/>
          <w:szCs w:val="28"/>
          <w:rtl/>
          <w:lang w:bidi="fa-IR"/>
        </w:rPr>
        <w:t>و در هر حال آنچه که سابقاً گذشت در وجوب اکتساب بر منفق کفايت می</w:t>
      </w:r>
      <w:r>
        <w:rPr>
          <w:rFonts w:ascii="IRBadr" w:hAnsi="IRBadr" w:cs="Abz-2 (Badr)" w:hint="cs"/>
          <w:color w:val="000000" w:themeColor="text1"/>
          <w:sz w:val="28"/>
          <w:szCs w:val="28"/>
          <w:rtl/>
          <w:lang w:bidi="fa-IR"/>
        </w:rPr>
        <w:softHyphen/>
        <w:t>کند.</w:t>
      </w:r>
    </w:p>
    <w:p w14:paraId="4E75471F" w14:textId="77777777" w:rsidR="00726503" w:rsidRDefault="00726503" w:rsidP="00726503">
      <w:pPr>
        <w:widowControl w:val="0"/>
        <w:bidi/>
        <w:spacing w:after="0" w:line="252" w:lineRule="auto"/>
        <w:ind w:firstLine="284"/>
        <w:jc w:val="both"/>
        <w:rPr>
          <w:rFonts w:cs="Abz-2 (Badr)" w:hint="cs"/>
          <w:color w:val="0070C0"/>
          <w:sz w:val="28"/>
          <w:szCs w:val="28"/>
          <w:rtl/>
        </w:rPr>
      </w:pPr>
      <w:r>
        <w:rPr>
          <w:rFonts w:cs="Abz-2 (Badr)" w:hint="cs"/>
          <w:color w:val="000000" w:themeColor="text1"/>
          <w:sz w:val="28"/>
          <w:szCs w:val="28"/>
          <w:rtl/>
          <w:lang w:bidi="fa-IR"/>
        </w:rPr>
        <w:t>اما در خصوص آنچه که علامه در تحرير فرموده است مبنی بر اين که عقار و عبد منفق برای تأمين نفقه منفق عليه بايد فروحته شود صاحب جواهر در خصوص آن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rPr>
        <w:t>لعلّه‌ لإطلاق الأدلّة وعدم الاستثناء.</w:t>
      </w:r>
    </w:p>
    <w:p w14:paraId="04365352" w14:textId="77777777" w:rsidR="00726503" w:rsidRDefault="00726503" w:rsidP="00726503">
      <w:pPr>
        <w:widowControl w:val="0"/>
        <w:bidi/>
        <w:spacing w:after="0" w:line="252" w:lineRule="auto"/>
        <w:ind w:firstLine="284"/>
        <w:jc w:val="both"/>
        <w:rPr>
          <w:rFonts w:cs="Abz-2 (Badr)" w:hint="cs"/>
          <w:color w:val="0070C0"/>
          <w:sz w:val="28"/>
          <w:szCs w:val="28"/>
          <w:rtl/>
        </w:rPr>
      </w:pPr>
      <w:r>
        <w:rPr>
          <w:rFonts w:cs="Abz-2 (Badr)" w:hint="cs"/>
          <w:color w:val="0070C0"/>
          <w:sz w:val="28"/>
          <w:szCs w:val="28"/>
          <w:rtl/>
        </w:rPr>
        <w:t>وفيه: أنّه يمكن أن يكون ذلك اتّكالاً على ما ذكروه من تقديم نفقة النفس التي منها داره وعبده ونحوهما ممّا استثني في الدين. نعم، يتّجه بيع ما لا يرجع إلى ذلك منها.</w:t>
      </w:r>
    </w:p>
    <w:p w14:paraId="33272936" w14:textId="77777777" w:rsidR="00726503" w:rsidRDefault="00726503" w:rsidP="00726503">
      <w:pPr>
        <w:widowControl w:val="0"/>
        <w:bidi/>
        <w:spacing w:after="0" w:line="252" w:lineRule="auto"/>
        <w:ind w:firstLine="284"/>
        <w:jc w:val="both"/>
        <w:rPr>
          <w:rFonts w:cs="Abz-2 (Badr)" w:hint="cs"/>
          <w:color w:val="0070C0"/>
          <w:sz w:val="28"/>
          <w:szCs w:val="28"/>
          <w:rtl/>
        </w:rPr>
      </w:pPr>
      <w:r>
        <w:rPr>
          <w:rFonts w:cs="Abz-2 (Badr)" w:hint="cs"/>
          <w:color w:val="0070C0"/>
          <w:sz w:val="28"/>
          <w:szCs w:val="28"/>
          <w:rtl/>
        </w:rPr>
        <w:t>كما أنّه يتّجه استثناء نحو ذلك للمنفق عليه، فلا يكفي في سقوط النفقة عمّن عاله وجود نحو ذلك عند من وجبت النفقة له، ضرورة أنّها من جملة النفقة التي يستنغي بها عن المنفق.»</w:t>
      </w:r>
      <w:r>
        <w:rPr>
          <w:rStyle w:val="FootnoteReference"/>
          <w:rFonts w:cs="Abz-2 (Badr)"/>
          <w:color w:val="000000" w:themeColor="text1"/>
          <w:sz w:val="28"/>
          <w:szCs w:val="28"/>
          <w:rtl/>
          <w:lang w:bidi="ar"/>
        </w:rPr>
        <w:footnoteReference w:id="3"/>
      </w:r>
    </w:p>
    <w:p w14:paraId="0064CDD8" w14:textId="77777777" w:rsidR="00726503" w:rsidRDefault="00726503" w:rsidP="00726503">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 xml:space="preserve">اما حق اين است که در مسأله تفصيل داده شود، بدين ترتيب که در مواردی که صرف ما يملک انسان در نفقه عيال </w:t>
      </w:r>
      <w:r>
        <w:rPr>
          <w:rFonts w:cs="Abz-2 (Badr)" w:hint="cs"/>
          <w:color w:val="000000" w:themeColor="text1"/>
          <w:sz w:val="28"/>
          <w:szCs w:val="28"/>
          <w:rtl/>
        </w:rPr>
        <w:lastRenderedPageBreak/>
        <w:t>او سبب وقوع وی در حرج نشود، بايد به همان ترتيبی که گذشت، اهم و مهم مراعات گردد؛ مثلاً کسی که عبدی دارد که مطابق با شأن اوست ولی با فروش وی به حرج دچار نمی</w:t>
      </w:r>
      <w:r>
        <w:rPr>
          <w:rFonts w:cs="Abz-2 (Badr)" w:hint="cs"/>
          <w:color w:val="000000" w:themeColor="text1"/>
          <w:sz w:val="28"/>
          <w:szCs w:val="28"/>
          <w:rtl/>
        </w:rPr>
        <w:softHyphen/>
        <w:t>شود، اگر فرزند فقير وی دچار بيماری شود به نحوی که هرچند جان وی در خطر نباشد، اما عدم درمان آن بيماری سبب شود که فرزند در ادامه زندگی خود با مشکلات بسياری مواجه شود ـ مثل اين که فلج شود ـ در اين صورت فروش عبد و مصرف ثمن آن در درمان بيماری فرزند مقدم بر حفظ عبد و به کار گيری او در امور مربوط به منفق است.</w:t>
      </w:r>
    </w:p>
    <w:p w14:paraId="3639870D" w14:textId="77777777" w:rsidR="00726503" w:rsidRDefault="00726503" w:rsidP="00726503">
      <w:pPr>
        <w:widowControl w:val="0"/>
        <w:bidi/>
        <w:spacing w:after="0"/>
        <w:ind w:firstLine="284"/>
        <w:jc w:val="both"/>
        <w:rPr>
          <w:rFonts w:cs="Abz-2 (Badr)" w:hint="cs"/>
          <w:color w:val="7030A0"/>
          <w:sz w:val="28"/>
          <w:szCs w:val="28"/>
          <w:rtl/>
          <w:lang w:bidi="fa-IR"/>
        </w:rPr>
      </w:pPr>
      <w:r>
        <w:rPr>
          <w:rFonts w:cs="Abz-2 (Badr)" w:hint="cs"/>
          <w:color w:val="7030A0"/>
          <w:sz w:val="28"/>
          <w:szCs w:val="28"/>
          <w:rtl/>
          <w:lang w:bidi="fa-IR"/>
        </w:rPr>
        <w:t>مطلب سوم: مقدار نفقه</w:t>
      </w:r>
    </w:p>
    <w:p w14:paraId="57FEBE50" w14:textId="77777777" w:rsidR="00726503" w:rsidRDefault="00726503" w:rsidP="00726503">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در خصوص مقدار نفقه همان گونه که در کلمات محقق گذشت، حدّ معينی برای آن وجود ندارد، بلکه تعيين آن بر اساس خصوصيات مورد و به اندازه</w:t>
      </w:r>
      <w:r>
        <w:rPr>
          <w:rFonts w:cs="Abz-2 (Badr)" w:hint="cs"/>
          <w:color w:val="000000" w:themeColor="text1"/>
          <w:sz w:val="28"/>
          <w:szCs w:val="28"/>
          <w:rtl/>
        </w:rPr>
        <w:softHyphen/>
        <w:t>ای که نيازهای معمول منفق عليه را در حد شأن وی بر طرف سازد، و وجه آن نيز همان مطلبی است که در نفقه زوجه گذشت، زيرا نفقه اقارب با نفقه زوجه از اين جهت تفاوتی ندارد.</w:t>
      </w:r>
    </w:p>
    <w:p w14:paraId="62D7DAF4" w14:textId="77777777" w:rsidR="00726503" w:rsidRDefault="00726503" w:rsidP="00726503">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اما مسأله</w:t>
      </w:r>
      <w:r>
        <w:rPr>
          <w:rFonts w:cs="Abz-2 (Badr)" w:hint="cs"/>
          <w:color w:val="000000" w:themeColor="text1"/>
          <w:sz w:val="28"/>
          <w:szCs w:val="28"/>
          <w:rtl/>
        </w:rPr>
        <w:softHyphen/>
        <w:t>ای که در نفقه اقارب مطرح است اين است که اگر منفق عليه نيازمند ازدواج باشد، آيا هزينه ازدواج وی بر عهده منفق است يا خير؟</w:t>
      </w:r>
    </w:p>
    <w:p w14:paraId="0DF79EF5" w14:textId="77777777" w:rsidR="00726503" w:rsidRDefault="00726503" w:rsidP="00726503">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در کلمات محقق گذشت که هزينه ازدواج را بر عهده منفق نمی</w:t>
      </w:r>
      <w:r>
        <w:rPr>
          <w:rFonts w:cs="Abz-2 (Badr)" w:hint="cs"/>
          <w:color w:val="000000" w:themeColor="text1"/>
          <w:sz w:val="28"/>
          <w:szCs w:val="28"/>
          <w:rtl/>
        </w:rPr>
        <w:softHyphen/>
        <w:t>دانند.</w:t>
      </w:r>
    </w:p>
    <w:p w14:paraId="6F99C816" w14:textId="77777777" w:rsidR="00726503" w:rsidRDefault="00726503" w:rsidP="00726503">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rPr>
        <w:t>شيخ نيز در مبسوط می</w:t>
      </w:r>
      <w:r>
        <w:rPr>
          <w:rFonts w:cs="Abz-2 (Badr)" w:hint="cs"/>
          <w:color w:val="000000" w:themeColor="text1"/>
          <w:sz w:val="28"/>
          <w:szCs w:val="28"/>
          <w:rtl/>
        </w:rPr>
        <w:softHyphen/>
        <w:t xml:space="preserve">فرمايد: </w:t>
      </w:r>
      <w:r>
        <w:rPr>
          <w:rFonts w:cs="Abz-2 (Badr)" w:hint="cs"/>
          <w:color w:val="0070C0"/>
          <w:sz w:val="28"/>
          <w:szCs w:val="28"/>
          <w:rtl/>
        </w:rPr>
        <w:t>«</w:t>
      </w:r>
      <w:r>
        <w:rPr>
          <w:rFonts w:cs="Abz-2 (Badr)" w:hint="cs"/>
          <w:color w:val="0070C0"/>
          <w:sz w:val="28"/>
          <w:szCs w:val="28"/>
          <w:rtl/>
          <w:lang w:bidi="ar"/>
        </w:rPr>
        <w:t>فأمّا إعفافه فلا يجب عندنا، سواء كان ناقص الأحكام والخلقة، معسراً كان أو موسراً.</w:t>
      </w:r>
    </w:p>
    <w:p w14:paraId="799DDED6" w14:textId="77777777" w:rsidR="00726503" w:rsidRDefault="00726503" w:rsidP="00726503">
      <w:pPr>
        <w:widowControl w:val="0"/>
        <w:bidi/>
        <w:spacing w:after="0" w:line="264" w:lineRule="auto"/>
        <w:ind w:firstLine="284"/>
        <w:jc w:val="both"/>
        <w:rPr>
          <w:rFonts w:cs="Abz-2 (Badr)" w:hint="cs"/>
          <w:color w:val="000000" w:themeColor="text1"/>
          <w:sz w:val="28"/>
          <w:szCs w:val="28"/>
          <w:rtl/>
          <w:lang w:bidi="fa-IR"/>
        </w:rPr>
      </w:pPr>
      <w:r>
        <w:rPr>
          <w:rFonts w:cs="Abz-2 (Badr)" w:hint="cs"/>
          <w:color w:val="0070C0"/>
          <w:sz w:val="28"/>
          <w:szCs w:val="28"/>
          <w:rtl/>
          <w:lang w:bidi="ar"/>
        </w:rPr>
        <w:t xml:space="preserve">وقال بعضهم: إن كان معسراً ناقص الأحكام والخلقة، فعليه أن يعفّه بعقد نكاح أو ملك يمين، لقوله: </w:t>
      </w:r>
      <w:r>
        <w:rPr>
          <w:rFonts w:cs="QuranTaha" w:hint="cs"/>
          <w:color w:val="BF8F00" w:themeColor="accent4" w:themeShade="BF"/>
          <w:sz w:val="24"/>
          <w:szCs w:val="24"/>
          <w:rtl/>
        </w:rPr>
        <w:t xml:space="preserve">«وَ صٰاحِبْهُمٰا فِی </w:t>
      </w:r>
      <w:r>
        <w:rPr>
          <w:rFonts w:cs="QuranTaha" w:hint="cs"/>
          <w:color w:val="BF8F00" w:themeColor="accent4" w:themeShade="BF"/>
          <w:sz w:val="24"/>
          <w:szCs w:val="24"/>
          <w:rtl/>
        </w:rPr>
        <w:lastRenderedPageBreak/>
        <w:t>الدُّنْيٰا مَعْرُوفاً»</w:t>
      </w:r>
      <w:r>
        <w:rPr>
          <w:rStyle w:val="FootnoteReference"/>
          <w:rFonts w:cs="Abz-2 (Badr)"/>
          <w:color w:val="000000" w:themeColor="text1"/>
          <w:spacing w:val="-6"/>
          <w:sz w:val="28"/>
          <w:szCs w:val="28"/>
          <w:rtl/>
          <w:lang w:bidi="ar"/>
        </w:rPr>
        <w:footnoteReference w:id="4"/>
      </w:r>
      <w:r>
        <w:rPr>
          <w:rFonts w:cs="Abz-2 (Badr)" w:hint="cs"/>
          <w:color w:val="0070C0"/>
          <w:sz w:val="28"/>
          <w:szCs w:val="28"/>
          <w:rtl/>
          <w:lang w:bidi="ar"/>
        </w:rPr>
        <w:t>. وإن كان معسراً كامل الأحكام والخلقة قال بعضهم: يجب عليه إعفافه، وقال آخرون: لا يجب.»</w:t>
      </w:r>
      <w:r>
        <w:rPr>
          <w:rStyle w:val="FootnoteReference"/>
          <w:rFonts w:cs="Abz-2 (Badr)"/>
          <w:color w:val="000000" w:themeColor="text1"/>
          <w:sz w:val="28"/>
          <w:szCs w:val="28"/>
          <w:rtl/>
          <w:lang w:bidi="ar"/>
        </w:rPr>
        <w:footnoteReference w:id="5"/>
      </w:r>
    </w:p>
    <w:p w14:paraId="387AB8D8" w14:textId="77777777" w:rsidR="00726503" w:rsidRDefault="00726503" w:rsidP="00726503">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صاحب حدائق نيز فرموده است: </w:t>
      </w:r>
      <w:r>
        <w:rPr>
          <w:rFonts w:cs="Abz-2 (Badr)" w:hint="cs"/>
          <w:color w:val="0070C0"/>
          <w:sz w:val="28"/>
          <w:szCs w:val="28"/>
          <w:rtl/>
          <w:lang w:bidi="ar"/>
        </w:rPr>
        <w:t>«المشهور أنّه لا يجب إعفاف من تجب نفقته، والمراد بالإعفاف أن يصيّره ذا عفّة، إمّا بتزويجه أو يعطيه مهراً يتزوّج به أو يملّكه جارية أو يعطيه ثمن جارية صالحة له.»</w:t>
      </w:r>
      <w:r>
        <w:rPr>
          <w:rStyle w:val="FootnoteReference"/>
          <w:rFonts w:cs="Abz-2 (Badr)"/>
          <w:color w:val="000000" w:themeColor="text1"/>
          <w:sz w:val="28"/>
          <w:szCs w:val="28"/>
          <w:rtl/>
          <w:lang w:bidi="ar"/>
        </w:rPr>
        <w:footnoteReference w:id="6"/>
      </w:r>
    </w:p>
    <w:p w14:paraId="57120F1C" w14:textId="77777777" w:rsidR="00726503" w:rsidRDefault="00726503" w:rsidP="00726503">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صاحب جواهر در اين مسأله ادعا عدم خلاف در بين اصحاب کرده است.</w:t>
      </w:r>
      <w:r>
        <w:rPr>
          <w:rStyle w:val="FootnoteReference"/>
          <w:rFonts w:cs="Abz-2 (Badr)"/>
          <w:color w:val="000000" w:themeColor="text1"/>
          <w:sz w:val="28"/>
          <w:szCs w:val="28"/>
          <w:rtl/>
          <w:lang w:bidi="ar"/>
        </w:rPr>
        <w:footnoteReference w:id="7"/>
      </w:r>
    </w:p>
    <w:p w14:paraId="6ADA7A70" w14:textId="77777777" w:rsidR="00726503" w:rsidRDefault="00726503" w:rsidP="00726503">
      <w:pPr>
        <w:widowControl w:val="0"/>
        <w:bidi/>
        <w:spacing w:after="0"/>
        <w:ind w:firstLine="284"/>
        <w:jc w:val="both"/>
        <w:rPr>
          <w:rFonts w:cs="Abz-2 (Badr)" w:hint="cs"/>
          <w:color w:val="0070C0"/>
          <w:sz w:val="28"/>
          <w:szCs w:val="28"/>
          <w:rtl/>
        </w:rPr>
      </w:pPr>
      <w:r>
        <w:rPr>
          <w:rFonts w:cs="Abz-2 (Badr)" w:hint="cs"/>
          <w:color w:val="000000" w:themeColor="text1"/>
          <w:sz w:val="28"/>
          <w:szCs w:val="28"/>
          <w:rtl/>
          <w:lang w:bidi="fa-IR"/>
        </w:rPr>
        <w:t xml:space="preserve">اما شهيد ثانی فرموده است: </w:t>
      </w:r>
      <w:r>
        <w:rPr>
          <w:rFonts w:cs="Abz-2 (Badr)" w:hint="cs"/>
          <w:color w:val="0070C0"/>
          <w:sz w:val="28"/>
          <w:szCs w:val="28"/>
          <w:rtl/>
          <w:lang w:bidi="fa-IR"/>
        </w:rPr>
        <w:t>«</w:t>
      </w:r>
      <w:r>
        <w:rPr>
          <w:rFonts w:cs="Abz-2 (Badr)" w:hint="cs"/>
          <w:color w:val="0070C0"/>
          <w:sz w:val="28"/>
          <w:szCs w:val="28"/>
          <w:rtl/>
        </w:rPr>
        <w:t>قد قال بوجوبه بعض الأصحاب وجماعة من العلماء للأب وإن علا، لأنّ ذلك من أهمّ المصاحبة بالمعروف، ولأنّه من وجوه حاجاته المهمّة، فيجب على الابن القيام به كالنفقة والكسوة. والأشهر الاستحباب. ولو كان قادراً على التزويج مالكاً للمهر لم يجب على القولين، وإن وجبت نفقته بعد ذلك.»</w:t>
      </w:r>
      <w:r>
        <w:rPr>
          <w:rStyle w:val="FootnoteReference"/>
          <w:rFonts w:cs="Abz-2 (Badr)"/>
          <w:color w:val="000000" w:themeColor="text1"/>
          <w:sz w:val="28"/>
          <w:szCs w:val="28"/>
          <w:rtl/>
          <w:lang w:bidi="ar"/>
        </w:rPr>
        <w:footnoteReference w:id="8"/>
      </w:r>
    </w:p>
    <w:p w14:paraId="5A980FA6" w14:textId="77777777" w:rsidR="00726503" w:rsidRDefault="00726503" w:rsidP="00726503">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ادامه فرمايشات ايشان را جلسه آينده بررسی خواهيم کرد ان شاء الله.</w:t>
      </w:r>
    </w:p>
    <w:p w14:paraId="2AD04477" w14:textId="7D63A4A4" w:rsidR="00B706A3" w:rsidRPr="00726503" w:rsidRDefault="00B706A3" w:rsidP="00726503">
      <w:pPr>
        <w:rPr>
          <w:rtl/>
        </w:rPr>
      </w:pPr>
    </w:p>
    <w:sectPr w:rsidR="00B706A3" w:rsidRPr="00726503"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A1A1B" w14:textId="77777777" w:rsidR="00636F56" w:rsidRDefault="00636F56" w:rsidP="00F71127">
      <w:pPr>
        <w:spacing w:after="0" w:line="240" w:lineRule="auto"/>
      </w:pPr>
      <w:r>
        <w:separator/>
      </w:r>
    </w:p>
  </w:endnote>
  <w:endnote w:type="continuationSeparator" w:id="0">
    <w:p w14:paraId="62DBB8B0" w14:textId="77777777" w:rsidR="00636F56" w:rsidRDefault="00636F5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1D5E" w14:textId="77777777" w:rsidR="005D19BD" w:rsidRDefault="005D1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214C" w14:textId="77777777" w:rsidR="005D19BD" w:rsidRDefault="005D1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25926" w14:textId="77777777" w:rsidR="00636F56" w:rsidRDefault="00636F56" w:rsidP="00EE25C0">
      <w:pPr>
        <w:bidi/>
        <w:spacing w:after="0" w:line="240" w:lineRule="auto"/>
      </w:pPr>
      <w:r>
        <w:separator/>
      </w:r>
    </w:p>
  </w:footnote>
  <w:footnote w:type="continuationSeparator" w:id="0">
    <w:p w14:paraId="2496055E" w14:textId="77777777" w:rsidR="00636F56" w:rsidRDefault="00636F56" w:rsidP="00F71127">
      <w:pPr>
        <w:bidi/>
        <w:spacing w:after="0" w:line="240" w:lineRule="auto"/>
      </w:pPr>
      <w:r>
        <w:continuationSeparator/>
      </w:r>
    </w:p>
  </w:footnote>
  <w:footnote w:id="1">
    <w:p w14:paraId="169D41FA" w14:textId="77777777" w:rsidR="00726503" w:rsidRDefault="00726503" w:rsidP="00726503">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الکافي،ج4،ص12،ح8 ـ وسائل الشيعة، الباب 21 من أبواب النفقات،ح4،ج21،ص542 و 543.</w:t>
      </w:r>
    </w:p>
  </w:footnote>
  <w:footnote w:id="2">
    <w:p w14:paraId="29F8D22A" w14:textId="77777777" w:rsidR="00726503" w:rsidRDefault="00726503" w:rsidP="00726503">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الکافي،ج4،ص11،ح2 ـ وسائل الشيعة، الباب 21 من أبواب النفقات،ح1،ج21،ص542.</w:t>
      </w:r>
    </w:p>
  </w:footnote>
  <w:footnote w:id="3">
    <w:p w14:paraId="49A34D87" w14:textId="77777777" w:rsidR="00726503" w:rsidRDefault="00726503" w:rsidP="00726503">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الکلام،ج31،ص375 و 376.</w:t>
      </w:r>
    </w:p>
  </w:footnote>
  <w:footnote w:id="4">
    <w:p w14:paraId="18E21DB2" w14:textId="77777777" w:rsidR="00726503" w:rsidRDefault="00726503" w:rsidP="00726503">
      <w:pPr>
        <w:pStyle w:val="FootnoteText"/>
        <w:bidi/>
        <w:rPr>
          <w:rFonts w:cs="Abz-2 (Badr)" w:hint="cs"/>
          <w:rtl/>
          <w:lang w:bidi="fa-IR"/>
        </w:rPr>
      </w:pPr>
      <w:r>
        <w:rPr>
          <w:rStyle w:val="FootnoteReference"/>
          <w:rFonts w:cs="Abz-2 (Badr)"/>
        </w:rPr>
        <w:footnoteRef/>
      </w:r>
      <w:r>
        <w:rPr>
          <w:rFonts w:cs="Abz-2 (Badr)" w:hint="cs"/>
          <w:rtl/>
        </w:rPr>
        <w:t xml:space="preserve"> ـ لقمان(31):15.</w:t>
      </w:r>
    </w:p>
  </w:footnote>
  <w:footnote w:id="5">
    <w:p w14:paraId="3599ED7D" w14:textId="77777777" w:rsidR="00726503" w:rsidRDefault="00726503" w:rsidP="00726503">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المبسوط،ج6،ص34.</w:t>
      </w:r>
    </w:p>
  </w:footnote>
  <w:footnote w:id="6">
    <w:p w14:paraId="6D38943F" w14:textId="77777777" w:rsidR="00726503" w:rsidRDefault="00726503" w:rsidP="00726503">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الحدائق الناضرة،ج25،ص137.</w:t>
      </w:r>
    </w:p>
  </w:footnote>
  <w:footnote w:id="7">
    <w:p w14:paraId="2E9C2BCD" w14:textId="77777777" w:rsidR="00726503" w:rsidRDefault="00726503" w:rsidP="00726503">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الکلام،ج31،ص337.</w:t>
      </w:r>
    </w:p>
  </w:footnote>
  <w:footnote w:id="8">
    <w:p w14:paraId="38491524" w14:textId="77777777" w:rsidR="00726503" w:rsidRDefault="00726503" w:rsidP="00726503">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مسالك ال</w:t>
      </w:r>
      <w:r>
        <w:rPr>
          <w:rFonts w:cs="Abz-2 (Badr)" w:hint="cs"/>
          <w:rtl/>
          <w:lang w:bidi="fa-IR"/>
        </w:rPr>
        <w:t>أفهام</w:t>
      </w:r>
      <w:r>
        <w:rPr>
          <w:rFonts w:cs="Abz-2 (Badr)" w:hint="cs"/>
          <w:rtl/>
        </w:rPr>
        <w:t>،ج8،ص489.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E56DD" w14:textId="77777777" w:rsidR="005D19BD" w:rsidRDefault="005D1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20654D8"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726503">
                            <w:rPr>
                              <w:rFonts w:cs="B Mehr" w:hint="cs"/>
                              <w:rtl/>
                              <w:lang w:bidi="fa-IR"/>
                            </w:rPr>
                            <w:t>دو</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726503">
                            <w:rPr>
                              <w:rFonts w:cs="B Mehr" w:hint="cs"/>
                              <w:rtl/>
                              <w:lang w:bidi="fa-IR"/>
                            </w:rPr>
                            <w:t>27</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20654D8"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726503">
                      <w:rPr>
                        <w:rFonts w:cs="B Mehr" w:hint="cs"/>
                        <w:rtl/>
                        <w:lang w:bidi="fa-IR"/>
                      </w:rPr>
                      <w:t>دو</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726503">
                      <w:rPr>
                        <w:rFonts w:cs="B Mehr" w:hint="cs"/>
                        <w:rtl/>
                        <w:lang w:bidi="fa-IR"/>
                      </w:rPr>
                      <w:t>27</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6328" w14:textId="77777777" w:rsidR="005D19BD" w:rsidRDefault="005D19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1C27"/>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060"/>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04F"/>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5F3F"/>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9BD"/>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36F56"/>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92A"/>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503"/>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9C8"/>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85"/>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06BA"/>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67CCD"/>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279B0"/>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BDD"/>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28C9"/>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0E8C"/>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3B5"/>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32"/>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0961329">
      <w:bodyDiv w:val="1"/>
      <w:marLeft w:val="0"/>
      <w:marRight w:val="0"/>
      <w:marTop w:val="0"/>
      <w:marBottom w:val="0"/>
      <w:divBdr>
        <w:top w:val="none" w:sz="0" w:space="0" w:color="auto"/>
        <w:left w:val="none" w:sz="0" w:space="0" w:color="auto"/>
        <w:bottom w:val="none" w:sz="0" w:space="0" w:color="auto"/>
        <w:right w:val="none" w:sz="0" w:space="0" w:color="auto"/>
      </w:divBdr>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19846445">
      <w:bodyDiv w:val="1"/>
      <w:marLeft w:val="0"/>
      <w:marRight w:val="0"/>
      <w:marTop w:val="0"/>
      <w:marBottom w:val="0"/>
      <w:divBdr>
        <w:top w:val="none" w:sz="0" w:space="0" w:color="auto"/>
        <w:left w:val="none" w:sz="0" w:space="0" w:color="auto"/>
        <w:bottom w:val="none" w:sz="0" w:space="0" w:color="auto"/>
        <w:right w:val="none" w:sz="0" w:space="0" w:color="auto"/>
      </w:divBdr>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1964008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244762">
      <w:bodyDiv w:val="1"/>
      <w:marLeft w:val="0"/>
      <w:marRight w:val="0"/>
      <w:marTop w:val="0"/>
      <w:marBottom w:val="0"/>
      <w:divBdr>
        <w:top w:val="none" w:sz="0" w:space="0" w:color="auto"/>
        <w:left w:val="none" w:sz="0" w:space="0" w:color="auto"/>
        <w:bottom w:val="none" w:sz="0" w:space="0" w:color="auto"/>
        <w:right w:val="none" w:sz="0" w:space="0" w:color="auto"/>
      </w:divBdr>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3434613">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29808210">
      <w:bodyDiv w:val="1"/>
      <w:marLeft w:val="0"/>
      <w:marRight w:val="0"/>
      <w:marTop w:val="0"/>
      <w:marBottom w:val="0"/>
      <w:divBdr>
        <w:top w:val="none" w:sz="0" w:space="0" w:color="auto"/>
        <w:left w:val="none" w:sz="0" w:space="0" w:color="auto"/>
        <w:bottom w:val="none" w:sz="0" w:space="0" w:color="auto"/>
        <w:right w:val="none" w:sz="0" w:space="0" w:color="auto"/>
      </w:divBdr>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478809">
      <w:bodyDiv w:val="1"/>
      <w:marLeft w:val="0"/>
      <w:marRight w:val="0"/>
      <w:marTop w:val="0"/>
      <w:marBottom w:val="0"/>
      <w:divBdr>
        <w:top w:val="none" w:sz="0" w:space="0" w:color="auto"/>
        <w:left w:val="none" w:sz="0" w:space="0" w:color="auto"/>
        <w:bottom w:val="none" w:sz="0" w:space="0" w:color="auto"/>
        <w:right w:val="none" w:sz="0" w:space="0" w:color="auto"/>
      </w:divBdr>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1981718">
      <w:bodyDiv w:val="1"/>
      <w:marLeft w:val="0"/>
      <w:marRight w:val="0"/>
      <w:marTop w:val="0"/>
      <w:marBottom w:val="0"/>
      <w:divBdr>
        <w:top w:val="none" w:sz="0" w:space="0" w:color="auto"/>
        <w:left w:val="none" w:sz="0" w:space="0" w:color="auto"/>
        <w:bottom w:val="none" w:sz="0" w:space="0" w:color="auto"/>
        <w:right w:val="none" w:sz="0" w:space="0" w:color="auto"/>
      </w:divBdr>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310915">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771</cp:revision>
  <cp:lastPrinted>2025-04-14T09:12:00Z</cp:lastPrinted>
  <dcterms:created xsi:type="dcterms:W3CDTF">2022-10-16T08:36:00Z</dcterms:created>
  <dcterms:modified xsi:type="dcterms:W3CDTF">2026-10-29T12:19:00Z</dcterms:modified>
</cp:coreProperties>
</file>